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B9" w:rsidRPr="00AD28B9" w:rsidRDefault="00AD28B9" w:rsidP="00AD28B9">
      <w:pPr>
        <w:spacing w:beforeAutospacing="1" w:after="0" w:line="240" w:lineRule="auto"/>
        <w:ind w:left="-272"/>
        <w:outlineLvl w:val="1"/>
        <w:rPr>
          <w:rFonts w:ascii="Times New Roman" w:eastAsia="Times New Roman" w:hAnsi="Times New Roman" w:cs="Times New Roman"/>
          <w:b/>
          <w:bCs/>
          <w:color w:val="49494A"/>
          <w:kern w:val="36"/>
          <w:sz w:val="48"/>
          <w:szCs w:val="48"/>
          <w:lang w:eastAsia="es-ES"/>
        </w:rPr>
      </w:pPr>
      <w:proofErr w:type="spellStart"/>
      <w:r w:rsidRPr="00AD28B9">
        <w:rPr>
          <w:rFonts w:ascii="Times New Roman" w:eastAsia="Times New Roman" w:hAnsi="Times New Roman" w:cs="Times New Roman"/>
          <w:color w:val="DD4A51"/>
          <w:kern w:val="36"/>
          <w:sz w:val="77"/>
          <w:szCs w:val="77"/>
          <w:lang w:eastAsia="es-ES"/>
        </w:rPr>
        <w:t>Strategic</w:t>
      </w:r>
      <w:proofErr w:type="spellEnd"/>
      <w:r w:rsidRPr="00AD28B9">
        <w:rPr>
          <w:rFonts w:ascii="Times New Roman" w:eastAsia="Times New Roman" w:hAnsi="Times New Roman" w:cs="Times New Roman"/>
          <w:color w:val="DD4A51"/>
          <w:kern w:val="36"/>
          <w:sz w:val="77"/>
          <w:szCs w:val="77"/>
          <w:lang w:eastAsia="es-ES"/>
        </w:rPr>
        <w:t xml:space="preserve"> </w:t>
      </w:r>
      <w:proofErr w:type="spellStart"/>
      <w:r w:rsidRPr="00AD28B9">
        <w:rPr>
          <w:rFonts w:ascii="Times New Roman" w:eastAsia="Times New Roman" w:hAnsi="Times New Roman" w:cs="Times New Roman"/>
          <w:color w:val="DD4A51"/>
          <w:kern w:val="36"/>
          <w:sz w:val="77"/>
          <w:szCs w:val="77"/>
          <w:lang w:eastAsia="es-ES"/>
        </w:rPr>
        <w:t>framework</w:t>
      </w:r>
      <w:proofErr w:type="spellEnd"/>
      <w:r w:rsidRPr="00AD28B9">
        <w:rPr>
          <w:rFonts w:ascii="Times New Roman" w:eastAsia="Times New Roman" w:hAnsi="Times New Roman" w:cs="Times New Roman"/>
          <w:color w:val="DD4A51"/>
          <w:kern w:val="36"/>
          <w:sz w:val="77"/>
          <w:szCs w:val="77"/>
          <w:lang w:eastAsia="es-ES"/>
        </w:rPr>
        <w:t xml:space="preserve"> – </w:t>
      </w:r>
      <w:proofErr w:type="spellStart"/>
      <w:r w:rsidRPr="00AD28B9">
        <w:rPr>
          <w:rFonts w:ascii="Times New Roman" w:eastAsia="Times New Roman" w:hAnsi="Times New Roman" w:cs="Times New Roman"/>
          <w:color w:val="DD4A51"/>
          <w:kern w:val="36"/>
          <w:sz w:val="77"/>
          <w:szCs w:val="77"/>
          <w:lang w:eastAsia="es-ES"/>
        </w:rPr>
        <w:t>Education</w:t>
      </w:r>
      <w:proofErr w:type="spellEnd"/>
      <w:r w:rsidRPr="00AD28B9">
        <w:rPr>
          <w:rFonts w:ascii="Times New Roman" w:eastAsia="Times New Roman" w:hAnsi="Times New Roman" w:cs="Times New Roman"/>
          <w:color w:val="DD4A51"/>
          <w:kern w:val="36"/>
          <w:sz w:val="77"/>
          <w:szCs w:val="77"/>
          <w:lang w:eastAsia="es-ES"/>
        </w:rPr>
        <w:t xml:space="preserve"> &amp; Training 2020</w:t>
      </w:r>
      <w:r w:rsidRPr="00AD28B9">
        <w:rPr>
          <w:rFonts w:ascii="Times New Roman" w:eastAsia="Times New Roman" w:hAnsi="Times New Roman" w:cs="Times New Roman"/>
          <w:b/>
          <w:bCs/>
          <w:color w:val="49494A"/>
          <w:kern w:val="36"/>
          <w:sz w:val="48"/>
          <w:szCs w:val="48"/>
          <w:lang w:eastAsia="es-ES"/>
        </w:rPr>
        <w:t xml:space="preserve"> </w:t>
      </w:r>
    </w:p>
    <w:p w:rsidR="00AD28B9" w:rsidRPr="00AD28B9" w:rsidRDefault="00AD28B9" w:rsidP="00AD28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9494A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49494A"/>
          <w:sz w:val="20"/>
          <w:szCs w:val="20"/>
          <w:lang w:eastAsia="es-ES"/>
        </w:rPr>
        <w:drawing>
          <wp:inline distT="0" distB="0" distL="0" distR="0">
            <wp:extent cx="86360" cy="86360"/>
            <wp:effectExtent l="19050" t="0" r="8890" b="0"/>
            <wp:docPr id="1" name="Imagen 1" descr="http://ec.europa.eu/education/images/icon-ext-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ducation/images/icon-ext-europ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8B9">
        <w:rPr>
          <w:rFonts w:ascii="Times New Roman" w:eastAsia="Times New Roman" w:hAnsi="Times New Roman" w:cs="Times New Roman"/>
          <w:b/>
          <w:bCs/>
          <w:color w:val="49494A"/>
          <w:sz w:val="20"/>
          <w:szCs w:val="20"/>
          <w:lang w:eastAsia="es-ES"/>
        </w:rPr>
        <w:t>What is the EU's role in education &amp; training?</w:t>
      </w:r>
    </w:p>
    <w:p w:rsidR="00AD28B9" w:rsidRPr="00AD28B9" w:rsidRDefault="00AD28B9" w:rsidP="00AD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Each EU country is responsible for its own education and training systems, so EU policy is designed to support national action and help address </w:t>
      </w:r>
      <w:r w:rsidRPr="00AD28B9">
        <w:rPr>
          <w:rFonts w:ascii="Times New Roman" w:eastAsia="Times New Roman" w:hAnsi="Times New Roman" w:cs="Times New Roman"/>
          <w:b/>
          <w:bCs/>
          <w:color w:val="49494A"/>
          <w:sz w:val="15"/>
          <w:szCs w:val="15"/>
          <w:lang w:eastAsia="es-ES"/>
        </w:rPr>
        <w:t>common challenges</w:t>
      </w: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, such as ageing societies, </w:t>
      </w:r>
      <w:hyperlink r:id="rId6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skills deficits in the workforce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>, and global competition.</w:t>
      </w:r>
    </w:p>
    <w:p w:rsidR="00AD28B9" w:rsidRPr="00AD28B9" w:rsidRDefault="00AD28B9" w:rsidP="00AD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The EU offers a </w:t>
      </w:r>
      <w:hyperlink r:id="rId7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forum for exchange of best practices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, gathering and dissemination of information and statistics, as well as advice and support for policy reforms. Funding is also available for </w:t>
      </w:r>
      <w:hyperlink r:id="rId8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activities that promote learning and education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 at all levels and for all age groups.</w:t>
      </w:r>
    </w:p>
    <w:p w:rsidR="00AD28B9" w:rsidRPr="00AD28B9" w:rsidRDefault="00AD28B9" w:rsidP="00AD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>Through the strategic framework for education and training, EU countries have identified four common objectives to address these challenges by 2020:</w:t>
      </w:r>
    </w:p>
    <w:p w:rsidR="00AD28B9" w:rsidRPr="00AD28B9" w:rsidRDefault="00AD28B9" w:rsidP="00AD2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Making lifelong learning and </w:t>
      </w:r>
      <w:hyperlink r:id="rId9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mobility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 a reality; </w:t>
      </w:r>
    </w:p>
    <w:p w:rsidR="00AD28B9" w:rsidRPr="00AD28B9" w:rsidRDefault="00AD28B9" w:rsidP="00AD2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Improving the </w:t>
      </w:r>
      <w:hyperlink r:id="rId10" w:tgtFrame="_blank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quality and efficiency </w:t>
        </w:r>
        <w:r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2" name="Imagen 2" descr="http://ec.europa.eu/education/images/icon-ext-europa.gif">
                <a:hlinkClick xmlns:a="http://schemas.openxmlformats.org/drawingml/2006/main" r:id="rId1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ec.europa.eu/education/images/icon-ext-europa.gif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of education and training; </w:t>
      </w:r>
    </w:p>
    <w:p w:rsidR="00AD28B9" w:rsidRPr="00AD28B9" w:rsidRDefault="00AD28B9" w:rsidP="00AD2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Promoting </w:t>
      </w:r>
      <w:hyperlink r:id="rId11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equity, social cohesion, and active citizenship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; </w:t>
      </w:r>
    </w:p>
    <w:p w:rsidR="00AD28B9" w:rsidRPr="00AD28B9" w:rsidRDefault="00AD28B9" w:rsidP="00AD2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Enhancing creativity and innovation, including </w:t>
      </w:r>
      <w:hyperlink r:id="rId12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entrepreneurship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, at all levels of education and training. </w:t>
      </w:r>
    </w:p>
    <w:p w:rsidR="00AD28B9" w:rsidRPr="00AD28B9" w:rsidRDefault="00AD28B9" w:rsidP="00AD28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9494A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49494A"/>
          <w:sz w:val="20"/>
          <w:szCs w:val="20"/>
          <w:lang w:eastAsia="es-ES"/>
        </w:rPr>
        <w:drawing>
          <wp:inline distT="0" distB="0" distL="0" distR="0">
            <wp:extent cx="86360" cy="86360"/>
            <wp:effectExtent l="19050" t="0" r="8890" b="0"/>
            <wp:docPr id="3" name="Imagen 3" descr="http://ec.europa.eu/education/images/icon-ext-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europa.eu/education/images/icon-ext-europ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8B9">
        <w:rPr>
          <w:rFonts w:ascii="Times New Roman" w:eastAsia="Times New Roman" w:hAnsi="Times New Roman" w:cs="Times New Roman"/>
          <w:b/>
          <w:bCs/>
          <w:color w:val="49494A"/>
          <w:sz w:val="20"/>
          <w:szCs w:val="20"/>
          <w:lang w:eastAsia="es-ES"/>
        </w:rPr>
        <w:t>What has been done so far?</w:t>
      </w:r>
    </w:p>
    <w:p w:rsidR="00AD28B9" w:rsidRPr="00AD28B9" w:rsidRDefault="00AD28B9" w:rsidP="00AD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>The following EU benchmarks for 2020 have been set for education:</w:t>
      </w:r>
    </w:p>
    <w:p w:rsidR="00AD28B9" w:rsidRPr="00AD28B9" w:rsidRDefault="00AD28B9" w:rsidP="00AD2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At least 95% of children (from 4 to compulsory school age) should participate in </w:t>
      </w:r>
      <w:hyperlink r:id="rId13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early childhood education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; </w:t>
      </w:r>
    </w:p>
    <w:p w:rsidR="00AD28B9" w:rsidRPr="00AD28B9" w:rsidRDefault="00AD28B9" w:rsidP="00AD2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fewer than 15% of 15-year-olds should be under-skilled in </w:t>
      </w:r>
      <w:hyperlink r:id="rId14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reading, mathematics and science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; </w:t>
      </w:r>
    </w:p>
    <w:p w:rsidR="00AD28B9" w:rsidRPr="00AD28B9" w:rsidRDefault="00AD28B9" w:rsidP="00AD2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fewer than 10% of young people should </w:t>
      </w:r>
      <w:hyperlink r:id="rId15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drop out of education and training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; </w:t>
      </w:r>
    </w:p>
    <w:p w:rsidR="00AD28B9" w:rsidRPr="00AD28B9" w:rsidRDefault="00AD28B9" w:rsidP="00AD2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at least 40% of people aged 30-34 should have </w:t>
      </w:r>
      <w:hyperlink r:id="rId16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completed some form of higher education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; </w:t>
      </w:r>
    </w:p>
    <w:p w:rsidR="00AD28B9" w:rsidRPr="00AD28B9" w:rsidRDefault="00AD28B9" w:rsidP="00AD2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at least 15% of adults should participate in </w:t>
      </w:r>
      <w:hyperlink r:id="rId17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lifelong learning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; </w:t>
      </w:r>
    </w:p>
    <w:p w:rsidR="00AD28B9" w:rsidRPr="00AD28B9" w:rsidRDefault="00AD28B9" w:rsidP="00AD2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at least 20% of higher education graduates and 6% of 18-34 year-olds with an initial vocational qualification should have </w:t>
      </w:r>
      <w:hyperlink r:id="rId18" w:history="1">
        <w:r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spent some time studying or training abroad</w:t>
        </w:r>
      </w:hyperlink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; </w:t>
      </w:r>
    </w:p>
    <w:p w:rsidR="00AD28B9" w:rsidRPr="00AD28B9" w:rsidRDefault="00AD28B9" w:rsidP="00AD2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the share of employed graduates (20-34 year-olds having successfully completed upper secondary or tertiary education) having left education 1-3 years ago should be at least 82%. </w:t>
      </w:r>
    </w:p>
    <w:p w:rsidR="00AD28B9" w:rsidRPr="00AD28B9" w:rsidRDefault="0071771B" w:rsidP="00AD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19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Progress on these benchmarks</w:t>
        </w:r>
      </w:hyperlink>
      <w:r w:rsidR="00AD28B9"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 is assessed in each EU country through a yearly country analysis, with the EU also providing recommendations.</w:t>
      </w:r>
    </w:p>
    <w:p w:rsidR="00AD28B9" w:rsidRPr="00AD28B9" w:rsidRDefault="00AD28B9" w:rsidP="00AD28B9">
      <w:pPr>
        <w:spacing w:after="0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lang w:eastAsia="es-ES"/>
        </w:rPr>
        <w:t> </w:t>
      </w:r>
    </w:p>
    <w:p w:rsidR="00AD28B9" w:rsidRPr="00AD28B9" w:rsidRDefault="00AD28B9" w:rsidP="00AD28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9494A"/>
          <w:sz w:val="15"/>
          <w:szCs w:val="15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49494A"/>
          <w:sz w:val="15"/>
          <w:szCs w:val="15"/>
          <w:lang w:eastAsia="es-ES"/>
        </w:rPr>
        <w:drawing>
          <wp:inline distT="0" distB="0" distL="0" distR="0">
            <wp:extent cx="86360" cy="86360"/>
            <wp:effectExtent l="19050" t="0" r="8890" b="0"/>
            <wp:docPr id="4" name="Imagen 4" descr="http://ec.europa.eu/education/images/icon-ext-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.europa.eu/education/images/icon-ext-europ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8B9">
        <w:rPr>
          <w:rFonts w:ascii="Times New Roman" w:eastAsia="Times New Roman" w:hAnsi="Times New Roman" w:cs="Times New Roman"/>
          <w:b/>
          <w:bCs/>
          <w:color w:val="49494A"/>
          <w:sz w:val="15"/>
          <w:szCs w:val="15"/>
          <w:lang w:eastAsia="es-ES"/>
        </w:rPr>
        <w:t xml:space="preserve">Find out more </w:t>
      </w:r>
    </w:p>
    <w:p w:rsidR="00AD28B9" w:rsidRPr="00AD28B9" w:rsidRDefault="00AD28B9" w:rsidP="00AD28B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20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DG EAC's Strategic Framework: Education and Training 2020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5" name="Imagen 5" descr="http://ec.europa.eu/education/images/icon-ext-europa.gif">
                <a:hlinkClick xmlns:a="http://schemas.openxmlformats.org/drawingml/2006/main" r:id="rId2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ec.europa.eu/education/images/icon-ext-europa.gif">
                        <a:hlinkClick r:id="rId2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22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Education and Training monitor</w:t>
        </w:r>
      </w:hyperlink>
      <w:r w:rsidR="00AD28B9"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 </w:t>
      </w:r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23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Country Specific Recommendations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103505" cy="103505"/>
              <wp:effectExtent l="19050" t="0" r="0" b="0"/>
              <wp:docPr id="6" name="Imagen 6" descr="http://ec.europa.eu/education/images/icon-ext-current.gif">
                <a:hlinkClick xmlns:a="http://schemas.openxmlformats.org/drawingml/2006/main" r:id="rId2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ec.europa.eu/education/images/icon-ext-current.gif">
                        <a:hlinkClick r:id="rId2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103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25" w:tgtFrame="_blank" w:tooltip="Europe2020 thematic paper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Europe2020 thematic paper on the </w:t>
        </w:r>
        <w:proofErr w:type="spellStart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skills</w:t>
        </w:r>
        <w:proofErr w:type="spellEnd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 gap and </w:t>
        </w:r>
        <w:proofErr w:type="spellStart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labour</w:t>
        </w:r>
        <w:proofErr w:type="spellEnd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 </w:t>
        </w:r>
        <w:proofErr w:type="spellStart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mobility</w:t>
        </w:r>
        <w:proofErr w:type="spellEnd"/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155575" cy="155575"/>
              <wp:effectExtent l="19050" t="0" r="0" b="0"/>
              <wp:docPr id="7" name="Imagen 7" descr="pdf">
                <a:hlinkClick xmlns:a="http://schemas.openxmlformats.org/drawingml/2006/main" r:id="rId25" tgtFrame="_blank" tooltip="&quot;Europe2020 thematic pap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df">
                        <a:hlinkClick r:id="rId25" tgtFrame="_blank" tooltip="&quot;Europe2020 thematic pap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(594 </w:t>
        </w:r>
        <w:proofErr w:type="spellStart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kB</w:t>
        </w:r>
        <w:proofErr w:type="spellEnd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)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103505" cy="103505"/>
              <wp:effectExtent l="19050" t="0" r="0" b="0"/>
              <wp:docPr id="8" name="Imagen 8" descr="http://ec.europa.eu/education/images/icon-ext-current.gif">
                <a:hlinkClick xmlns:a="http://schemas.openxmlformats.org/drawingml/2006/main" r:id="rId25" tgtFrame="_blank" tooltip="&quot;Europe2020 thematic pap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ec.europa.eu/education/images/icon-ext-current.gif">
                        <a:hlinkClick r:id="rId25" tgtFrame="_blank" tooltip="&quot;Europe2020 thematic pap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103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27" w:tgtFrame="_blank" w:tooltip="Europe2020 thematic paper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Europe2020 thematic paper on quality of education and training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155575" cy="155575"/>
              <wp:effectExtent l="19050" t="0" r="0" b="0"/>
              <wp:docPr id="9" name="Imagen 9" descr="pdf">
                <a:hlinkClick xmlns:a="http://schemas.openxmlformats.org/drawingml/2006/main" r:id="rId27" tgtFrame="_blank" tooltip="&quot;Europe2020 thematic pap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df">
                        <a:hlinkClick r:id="rId27" tgtFrame="_blank" tooltip="&quot;Europe2020 thematic pap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(290 </w:t>
        </w:r>
        <w:proofErr w:type="spellStart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>kB</w:t>
        </w:r>
        <w:proofErr w:type="spellEnd"/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lang w:eastAsia="es-ES"/>
          </w:rPr>
          <w:t xml:space="preserve">)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103505" cy="103505"/>
              <wp:effectExtent l="19050" t="0" r="0" b="0"/>
              <wp:docPr id="10" name="Imagen 10" descr="http://ec.europa.eu/education/images/icon-ext-current.gif">
                <a:hlinkClick xmlns:a="http://schemas.openxmlformats.org/drawingml/2006/main" r:id="rId27" tgtFrame="_blank" tooltip="&quot;Europe2020 thematic pap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ec.europa.eu/education/images/icon-ext-current.gif">
                        <a:hlinkClick r:id="rId27" tgtFrame="_blank" tooltip="&quot;Europe2020 thematic pap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103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D28B9" w:rsidRPr="00AD28B9" w:rsidRDefault="00AD28B9" w:rsidP="00AD2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 w:rsidRPr="00AD28B9">
        <w:rPr>
          <w:rFonts w:ascii="Times New Roman" w:eastAsia="Times New Roman" w:hAnsi="Times New Roman" w:cs="Times New Roman"/>
          <w:color w:val="49494A"/>
          <w:sz w:val="15"/>
          <w:lang w:eastAsia="es-ES"/>
        </w:rPr>
        <w:t>EU legislation / initiatives</w:t>
      </w:r>
      <w:r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 </w:t>
      </w:r>
    </w:p>
    <w:p w:rsidR="00AD28B9" w:rsidRPr="00AD28B9" w:rsidRDefault="00AD28B9" w:rsidP="00AD28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r>
        <w:rPr>
          <w:rFonts w:ascii="Times New Roman" w:eastAsia="Times New Roman" w:hAnsi="Times New Roman" w:cs="Times New Roman"/>
          <w:noProof/>
          <w:color w:val="49494A"/>
          <w:sz w:val="15"/>
          <w:szCs w:val="15"/>
          <w:lang w:eastAsia="es-ES"/>
        </w:rPr>
        <w:drawing>
          <wp:inline distT="0" distB="0" distL="0" distR="0">
            <wp:extent cx="86360" cy="86360"/>
            <wp:effectExtent l="19050" t="0" r="8890" b="0"/>
            <wp:docPr id="11" name="Imagen 11" descr="http://ec.europa.eu/education/images/icon-ext-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.europa.eu/education/images/icon-ext-europ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28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>2012 report on implementing the strategic framework for education and training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155575" cy="155575"/>
              <wp:effectExtent l="19050" t="0" r="0" b="0"/>
              <wp:docPr id="12" name="Imagen 12" descr="pdf">
                <a:hlinkClick xmlns:a="http://schemas.openxmlformats.org/drawingml/2006/main" r:id="rId2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pdf">
                        <a:hlinkClick r:id="rId2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13" name="Imagen 13" descr="http://ec.europa.eu/education/images/icon-ext-europa.gif">
                <a:hlinkClick xmlns:a="http://schemas.openxmlformats.org/drawingml/2006/main" r:id="rId2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ec.europa.eu/education/images/icon-ext-europa.gif">
                        <a:hlinkClick r:id="rId2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29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Commission policy paper on rethinking education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14" name="Imagen 14" descr="http://ec.europa.eu/education/images/icon-ext-europa.gif">
                <a:hlinkClick xmlns:a="http://schemas.openxmlformats.org/drawingml/2006/main" r:id="rId2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ec.europa.eu/education/images/icon-ext-europa.gif">
                        <a:hlinkClick r:id="rId2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30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Commission working document for rethinking education: country analysis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15" name="Imagen 15" descr="http://ec.europa.eu/education/images/icon-ext-europa.gif">
                <a:hlinkClick xmlns:a="http://schemas.openxmlformats.org/drawingml/2006/main" r:id="rId3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ec.europa.eu/education/images/icon-ext-europa.gif">
                        <a:hlinkClick r:id="rId3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D28B9" w:rsidRPr="00AD28B9" w:rsidRDefault="0071771B" w:rsidP="00AD28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</w:pPr>
      <w:hyperlink r:id="rId31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>Treaty on the Functioning of the European Union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155575" cy="155575"/>
              <wp:effectExtent l="19050" t="0" r="0" b="0"/>
              <wp:docPr id="16" name="Imagen 16" descr="pdf">
                <a:hlinkClick xmlns:a="http://schemas.openxmlformats.org/drawingml/2006/main" r:id="rId3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pdf">
                        <a:hlinkClick r:id="rId3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17" name="Imagen 17" descr="http://ec.europa.eu/education/images/icon-ext-europa.gif">
                <a:hlinkClick xmlns:a="http://schemas.openxmlformats.org/drawingml/2006/main" r:id="rId3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ec.europa.eu/education/images/icon-ext-europa.gif">
                        <a:hlinkClick r:id="rId3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AD28B9"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- For the parts on education and training, see title XII, </w:t>
      </w:r>
      <w:hyperlink r:id="rId32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Article 165 (education)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18" name="Imagen 18" descr="http://ec.europa.eu/education/images/icon-ext-europa.gif">
                <a:hlinkClick xmlns:a="http://schemas.openxmlformats.org/drawingml/2006/main" r:id="rId3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ec.europa.eu/education/images/icon-ext-europa.gif">
                        <a:hlinkClick r:id="rId3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AD28B9" w:rsidRPr="00AD28B9">
        <w:rPr>
          <w:rFonts w:ascii="Times New Roman" w:eastAsia="Times New Roman" w:hAnsi="Times New Roman" w:cs="Times New Roman"/>
          <w:color w:val="49494A"/>
          <w:sz w:val="15"/>
          <w:szCs w:val="15"/>
          <w:lang w:eastAsia="es-ES"/>
        </w:rPr>
        <w:t xml:space="preserve">and </w:t>
      </w:r>
      <w:hyperlink r:id="rId33" w:tgtFrame="_blank" w:history="1">
        <w:r w:rsidR="00AD28B9" w:rsidRPr="00AD28B9">
          <w:rPr>
            <w:rFonts w:ascii="Times New Roman" w:eastAsia="Times New Roman" w:hAnsi="Times New Roman" w:cs="Times New Roman"/>
            <w:color w:val="009DC7"/>
            <w:sz w:val="15"/>
            <w:szCs w:val="15"/>
            <w:lang w:eastAsia="es-ES"/>
          </w:rPr>
          <w:t xml:space="preserve">Article 166 (vocational training) </w:t>
        </w:r>
        <w:r w:rsidR="00AD28B9">
          <w:rPr>
            <w:rFonts w:ascii="Times New Roman" w:eastAsia="Times New Roman" w:hAnsi="Times New Roman" w:cs="Times New Roman"/>
            <w:noProof/>
            <w:color w:val="009DC7"/>
            <w:sz w:val="15"/>
            <w:szCs w:val="15"/>
            <w:lang w:eastAsia="es-ES"/>
          </w:rPr>
          <w:drawing>
            <wp:inline distT="0" distB="0" distL="0" distR="0">
              <wp:extent cx="86360" cy="86360"/>
              <wp:effectExtent l="19050" t="0" r="8890" b="0"/>
              <wp:docPr id="19" name="Imagen 19" descr="http://ec.europa.eu/education/images/icon-ext-europa.gif">
                <a:hlinkClick xmlns:a="http://schemas.openxmlformats.org/drawingml/2006/main" r:id="rId3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ec.europa.eu/education/images/icon-ext-europa.gif">
                        <a:hlinkClick r:id="rId3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" cy="86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sectPr w:rsidR="00AD28B9" w:rsidRPr="00AD28B9" w:rsidSect="009C7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24B"/>
    <w:multiLevelType w:val="multilevel"/>
    <w:tmpl w:val="513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10FAB"/>
    <w:multiLevelType w:val="multilevel"/>
    <w:tmpl w:val="B20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A4872"/>
    <w:multiLevelType w:val="multilevel"/>
    <w:tmpl w:val="9A1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28B9"/>
    <w:rsid w:val="0071771B"/>
    <w:rsid w:val="009C7F72"/>
    <w:rsid w:val="00AD28B9"/>
    <w:rsid w:val="00B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72"/>
  </w:style>
  <w:style w:type="paragraph" w:styleId="Ttulo3">
    <w:name w:val="heading 3"/>
    <w:basedOn w:val="Normal"/>
    <w:link w:val="Ttulo3Car"/>
    <w:uiPriority w:val="9"/>
    <w:qFormat/>
    <w:rsid w:val="00AD28B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AD28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D28B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D28B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D28B9"/>
    <w:rPr>
      <w:strike w:val="0"/>
      <w:dstrike w:val="0"/>
      <w:color w:val="009D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lear">
    <w:name w:val="clear"/>
    <w:basedOn w:val="Fuentedeprrafopredeter"/>
    <w:rsid w:val="00AD28B9"/>
  </w:style>
  <w:style w:type="character" w:customStyle="1" w:styleId="eurelatedtitle">
    <w:name w:val="eurelatedtitle"/>
    <w:basedOn w:val="Fuentedeprrafopredeter"/>
    <w:rsid w:val="00AD28B9"/>
  </w:style>
  <w:style w:type="paragraph" w:styleId="Textodeglobo">
    <w:name w:val="Balloon Text"/>
    <w:basedOn w:val="Normal"/>
    <w:link w:val="TextodegloboCar"/>
    <w:uiPriority w:val="99"/>
    <w:semiHidden/>
    <w:unhideWhenUsed/>
    <w:rsid w:val="00A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8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38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index_en.htm" TargetMode="External"/><Relationship Id="rId13" Type="http://schemas.openxmlformats.org/officeDocument/2006/relationships/hyperlink" Target="http://ec.europa.eu/education/policy/school/index_en.htm" TargetMode="External"/><Relationship Id="rId18" Type="http://schemas.openxmlformats.org/officeDocument/2006/relationships/hyperlink" Target="http://ec.europa.eu/education/opportunities/index_en.htm" TargetMode="External"/><Relationship Id="rId26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://eur-lex.europa.eu/LexUriServ/LexUriServ.do?uri=CELEX:52009XG0528(01):EN:NO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c.europa.eu/education/policy/higher-education/bologna-process_en.htm" TargetMode="External"/><Relationship Id="rId12" Type="http://schemas.openxmlformats.org/officeDocument/2006/relationships/hyperlink" Target="http://ec.europa.eu/education/policy/strategic-framework/entrepreneurship_en.htm" TargetMode="External"/><Relationship Id="rId17" Type="http://schemas.openxmlformats.org/officeDocument/2006/relationships/hyperlink" Target="http://ec.europa.eu/education/policy/adult-learning/index_en.htm" TargetMode="External"/><Relationship Id="rId25" Type="http://schemas.openxmlformats.org/officeDocument/2006/relationships/hyperlink" Target="http://ec.europa.eu/europe2020/pdf/themes/27_skills_gaps_and_labour_mobility.pdf" TargetMode="External"/><Relationship Id="rId33" Type="http://schemas.openxmlformats.org/officeDocument/2006/relationships/hyperlink" Target="http://eur-lex.europa.eu/LexUriServ/LexUriServ.do?uri=CELEX:12008E166:EN:NOT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education/policy/higher-education/attainment_en.htm" TargetMode="External"/><Relationship Id="rId20" Type="http://schemas.openxmlformats.org/officeDocument/2006/relationships/hyperlink" Target="http://eur-lex.europa.eu/LexUriServ/LexUriServ.do?uri=CELEX:52009XG0528%2801%29:EN:NOT" TargetMode="External"/><Relationship Id="rId29" Type="http://schemas.openxmlformats.org/officeDocument/2006/relationships/hyperlink" Target="http://eur-lex.europa.eu/LexUriServ/LexUriServ.do?uri=CELEX:52012DC0669:EN:N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policy/strategic-framework/skills-development_en.htm" TargetMode="External"/><Relationship Id="rId11" Type="http://schemas.openxmlformats.org/officeDocument/2006/relationships/hyperlink" Target="http://ec.europa.eu/education/policy/strategic-framework/social-inclusion_en.htm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eur-lex.europa.eu/LexUriServ/LexUriServ.do?uri=CELEX:12008E165:EN:NO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c.europa.eu/education/policy/school/early-school-leavers_en.htm" TargetMode="External"/><Relationship Id="rId23" Type="http://schemas.openxmlformats.org/officeDocument/2006/relationships/hyperlink" Target="http://ec.europa.eu/europe2020/making-it-happen/country-specific-recommendations/index_en.htm" TargetMode="External"/><Relationship Id="rId28" Type="http://schemas.openxmlformats.org/officeDocument/2006/relationships/hyperlink" Target="http://eur-lex.europa.eu/LexUriServ/LexUriServ.do?uri=OJ:C:2012:070:0009:0018:EN:PDF" TargetMode="External"/><Relationship Id="rId10" Type="http://schemas.openxmlformats.org/officeDocument/2006/relationships/hyperlink" Target="http://eur-lex.europa.eu/legal-content/EN/TXT/?uri=CELEX:52012DC0669" TargetMode="External"/><Relationship Id="rId19" Type="http://schemas.openxmlformats.org/officeDocument/2006/relationships/hyperlink" Target="http://ec.europa.eu/education/policy/strategic-framework/indicators-benchmarks_en.htm" TargetMode="External"/><Relationship Id="rId31" Type="http://schemas.openxmlformats.org/officeDocument/2006/relationships/hyperlink" Target="http://eur-lex.europa.eu/LexUriServ/LexUriServ.do?uri=OJ:C:2008:115:0047:0199:EN: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policy/higher-education/mobility-cbc_en.htm" TargetMode="External"/><Relationship Id="rId14" Type="http://schemas.openxmlformats.org/officeDocument/2006/relationships/hyperlink" Target="http://ec.europa.eu/education/policy/school/math_en.htm" TargetMode="External"/><Relationship Id="rId22" Type="http://schemas.openxmlformats.org/officeDocument/2006/relationships/hyperlink" Target="http://ec.europa.eu/education/tools/et-monitor_en.htm" TargetMode="External"/><Relationship Id="rId27" Type="http://schemas.openxmlformats.org/officeDocument/2006/relationships/hyperlink" Target="http://ec.europa.eu/europe2020/pdf/themes/30_quality_of_education_and_training.pdf" TargetMode="External"/><Relationship Id="rId30" Type="http://schemas.openxmlformats.org/officeDocument/2006/relationships/hyperlink" Target="http://eur-lex.europa.eu/LexUriServ/LexUriServ.do?uri=CELEX:52012SC0377:EN:NO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Centor</cp:lastModifiedBy>
  <cp:revision>2</cp:revision>
  <dcterms:created xsi:type="dcterms:W3CDTF">2014-05-19T07:07:00Z</dcterms:created>
  <dcterms:modified xsi:type="dcterms:W3CDTF">2014-05-26T08:34:00Z</dcterms:modified>
</cp:coreProperties>
</file>